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12" w:lineRule="auto"/>
        <w:rPr>
          <w:rFonts w:ascii="Rubik" w:cs="Rubik" w:eastAsia="Rubik" w:hAnsi="Rubik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| 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ערב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תרבות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חנוכריסמס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וחג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Rubik" w:cs="Rubik" w:eastAsia="Rubik" w:hAnsi="Rubik"/>
          <w:b w:val="1"/>
          <w:sz w:val="40"/>
          <w:szCs w:val="40"/>
          <w:rtl w:val="1"/>
        </w:rPr>
        <w:t xml:space="preserve">החגים</w:t>
      </w:r>
    </w:p>
    <w:p w:rsidR="00000000" w:rsidDel="00000000" w:rsidP="00000000" w:rsidRDefault="00000000" w:rsidRPr="00000000" w14:paraId="00000002">
      <w:pPr>
        <w:bidi w:val="1"/>
        <w:spacing w:line="312" w:lineRule="auto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312" w:lineRule="auto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מטרות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bidi w:val="1"/>
        <w:spacing w:line="312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גיבוש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ואחווה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bidi w:val="1"/>
        <w:spacing w:line="312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והיסטורית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החנוכה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bidi w:val="1"/>
        <w:spacing w:line="312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הכריסמס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הנוביגוד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הקורבן</w:t>
      </w:r>
    </w:p>
    <w:p w:rsidR="00000000" w:rsidDel="00000000" w:rsidP="00000000" w:rsidRDefault="00000000" w:rsidRPr="00000000" w14:paraId="00000007">
      <w:pPr>
        <w:bidi w:val="1"/>
        <w:spacing w:line="312" w:lineRule="auto"/>
        <w:ind w:left="720" w:firstLine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312" w:lineRule="auto"/>
        <w:ind w:left="720" w:firstLine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מתווה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וחלוקת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זמנים</w:t>
      </w:r>
    </w:p>
    <w:tbl>
      <w:tblPr>
        <w:tblStyle w:val="Table1"/>
        <w:bidiVisual w:val="1"/>
        <w:tblW w:w="427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410"/>
        <w:gridCol w:w="864"/>
        <w:tblGridChange w:id="0">
          <w:tblGrid>
            <w:gridCol w:w="3410"/>
            <w:gridCol w:w="864"/>
          </w:tblGrid>
        </w:tblGridChange>
      </w:tblGrid>
      <w:tr>
        <w:trPr>
          <w:cantSplit w:val="0"/>
          <w:trHeight w:val="149" w:hRule="atLeast"/>
          <w:tblHeader w:val="0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מהלך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זמנים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bidi w:val="1"/>
              <w:spacing w:line="312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מונופול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bidi w:val="1"/>
              <w:spacing w:line="312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75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'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bidi w:val="1"/>
              <w:spacing w:line="312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סיכום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bidi w:val="1"/>
              <w:spacing w:line="312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5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'</w:t>
            </w:r>
          </w:p>
        </w:tc>
      </w:tr>
    </w:tbl>
    <w:p w:rsidR="00000000" w:rsidDel="00000000" w:rsidP="00000000" w:rsidRDefault="00000000" w:rsidRPr="00000000" w14:paraId="00000010">
      <w:pPr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</w:p>
    <w:p w:rsidR="00000000" w:rsidDel="00000000" w:rsidP="00000000" w:rsidRDefault="00000000" w:rsidRPr="00000000" w14:paraId="00000011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וציוד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</w:p>
    <w:p w:rsidR="00000000" w:rsidDel="00000000" w:rsidP="00000000" w:rsidRDefault="00000000" w:rsidRPr="00000000" w14:paraId="00000012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חנופול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+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קוביות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׳)</w:t>
      </w:r>
    </w:p>
    <w:p w:rsidR="00000000" w:rsidDel="00000000" w:rsidP="00000000" w:rsidRDefault="00000000" w:rsidRPr="00000000" w14:paraId="00000013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 ●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סביבונים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אודם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אדום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+ 2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חנוכיף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באיגי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..." +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עטים</w:t>
      </w:r>
    </w:p>
    <w:p w:rsidR="00000000" w:rsidDel="00000000" w:rsidP="00000000" w:rsidRDefault="00000000" w:rsidRPr="00000000" w14:paraId="00000016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 ●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שוקולדים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לקלוע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לקופסא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להחביא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אנגרמות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הדפסת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הזיכרון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׳ +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׳</w:t>
      </w:r>
    </w:p>
    <w:p w:rsidR="00000000" w:rsidDel="00000000" w:rsidP="00000000" w:rsidRDefault="00000000" w:rsidRPr="00000000" w14:paraId="0000001A">
      <w:pPr>
        <w:spacing w:line="312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312" w:lineRule="auto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מהלך</w:t>
      </w:r>
    </w:p>
    <w:p w:rsidR="00000000" w:rsidDel="00000000" w:rsidP="00000000" w:rsidRDefault="00000000" w:rsidRPr="00000000" w14:paraId="0000001C">
      <w:pPr>
        <w:shd w:fill="ea9999" w:val="clear"/>
        <w:bidi w:val="1"/>
        <w:spacing w:line="312" w:lineRule="auto"/>
        <w:jc w:val="both"/>
        <w:rPr>
          <w:rFonts w:ascii="Assistant" w:cs="Assistant" w:eastAsia="Assistant" w:hAnsi="Assistant"/>
          <w:b w:val="1"/>
          <w:shd w:fill="ea9999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' |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פתיחה</w:t>
      </w:r>
    </w:p>
    <w:p w:rsidR="00000000" w:rsidDel="00000000" w:rsidP="00000000" w:rsidRDefault="00000000" w:rsidRPr="00000000" w14:paraId="0000001D">
      <w:pPr>
        <w:bidi w:val="1"/>
        <w:spacing w:line="312" w:lineRule="auto"/>
        <w:ind w:left="720" w:firstLine="0"/>
        <w:jc w:val="both"/>
        <w:rPr>
          <w:rFonts w:ascii="Assistant" w:cs="Assistant" w:eastAsia="Assistant" w:hAnsi="Assistan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spacing w:line="312" w:lineRule="auto"/>
        <w:ind w:left="1440" w:hanging="360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הסבר</w:t>
      </w:r>
    </w:p>
    <w:p w:rsidR="00000000" w:rsidDel="00000000" w:rsidP="00000000" w:rsidRDefault="00000000" w:rsidRPr="00000000" w14:paraId="0000001F">
      <w:pPr>
        <w:bidi w:val="1"/>
        <w:spacing w:line="312" w:lineRule="auto"/>
        <w:ind w:left="1440" w:firstLine="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מונופול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–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חנופול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(75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2-3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שיתחרו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כשהמטרה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44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בהמלצה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מספיקות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44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להכריז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שהזוכות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הניקוד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הגבוה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שמדליקים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החנוכיה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מורכב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ומשימות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כולן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קשורות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׳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סימני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מסמלים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וסימני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הקריאה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מסמלים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312" w:lineRule="auto"/>
        <w:ind w:firstLine="720"/>
        <w:rPr>
          <w:rFonts w:ascii="Assistant" w:cs="Assistant" w:eastAsia="Assistant" w:hAnsi="Assistant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ea9999" w:val="clear"/>
        <w:bidi w:val="1"/>
        <w:spacing w:line="312" w:lineRule="auto"/>
        <w:rPr>
          <w:rFonts w:ascii="Assistant" w:cs="Assistant" w:eastAsia="Assistant" w:hAnsi="Assistant"/>
          <w:b w:val="1"/>
          <w:shd w:fill="ea9999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' |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פירוט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hd w:fill="ea9999" w:val="clear"/>
          <w:rtl w:val="1"/>
        </w:rPr>
        <w:t xml:space="preserve">המונופול</w:t>
      </w:r>
    </w:p>
    <w:p w:rsidR="00000000" w:rsidDel="00000000" w:rsidP="00000000" w:rsidRDefault="00000000" w:rsidRPr="00000000" w14:paraId="00000022">
      <w:pPr>
        <w:bidi w:val="1"/>
        <w:spacing w:line="312" w:lineRule="auto"/>
        <w:ind w:left="720" w:firstLine="0"/>
        <w:rPr>
          <w:rFonts w:ascii="Assistant" w:cs="Assistant" w:eastAsia="Assistant" w:hAnsi="Assistan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spacing w:line="312" w:lineRule="auto"/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(4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נק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'):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 1 .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קוראים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מפני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להדלקת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בחנוכיה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  <w:br w:type="textWrapping"/>
        <w:t xml:space="preserve">2 .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חנוכת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המזבח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״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יתקבלו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נוספות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  <w:br w:type="textWrapping"/>
        <w:t xml:space="preserve">3 .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סופגניות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בחנוכה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יהודי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מזרח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אירופה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 4 .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אומרים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ביידיש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לטקעס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לביבות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קרטושקה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ביידיש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  <w:br w:type="textWrapping"/>
        <w:t xml:space="preserve">5 .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מקראי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בכתובים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בתלמוד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בגמרא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 6 .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במנורה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בחנוכייה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במנורה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7 ,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בחנוכייה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9 </w:t>
        <w:br w:type="textWrapping"/>
        <w:t xml:space="preserve">7.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הדלקת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שמאי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הדלקת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הברכה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שנאמרת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הדלקת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שמאי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מדליקים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ומכאן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פוחת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להפך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  <w:br w:type="textWrapping"/>
        <w:t xml:space="preserve">8 .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נוהגים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צדקה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 9 .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התאריך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העברי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נחגג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כסלו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 10 .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מרד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החשמונאים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אנטיוכוס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גזירות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היהודי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שמנעו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מצוות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ולבצע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במיתות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ינהג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גזרותיו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 11 .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בסביבון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כחצי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הדלקתם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והמציאו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חוויה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מעניינת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 12 .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הומצא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בגרמניה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  <w:br w:type="textWrapping"/>
        <w:t xml:space="preserve">13 .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בערב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מדליקים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line="312" w:lineRule="auto"/>
        <w:ind w:left="720" w:firstLine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bidi w:val="1"/>
        <w:spacing w:line="312" w:lineRule="auto"/>
        <w:ind w:left="720" w:hanging="360"/>
        <w:rPr>
          <w:rFonts w:ascii="Assistant" w:cs="Assistant" w:eastAsia="Assistant" w:hAnsi="Assistant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(8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נק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'):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 1 .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קרב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 2 .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קרב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שמורכבת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מהאותיות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חנוכיף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באיגי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...״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בצמוד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לאיגי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באיגירמתגן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</w:t>
        <w:br w:type="textWrapping"/>
        <w:t xml:space="preserve"> 3 .2 .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לקלוע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מטבעות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שוקולד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לקופסא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ממרחק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נסיונות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מצומצם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</w:t>
        <w:br w:type="textWrapping"/>
        <w:t xml:space="preserve"> 4 .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שמבצעת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יוצאת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הנותרת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מחביאה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המבצעת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60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זמנית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</w:t>
        <w:br w:type="textWrapping"/>
        <w:t xml:space="preserve">5.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אנגרמות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היפוכי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שמסיימת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שקיבלה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</w:t>
        <w:br w:type="textWrapping"/>
      </w:r>
      <w:r w:rsidDel="00000000" w:rsidR="00000000" w:rsidRPr="00000000">
        <w:rPr>
          <w:rFonts w:ascii="Assistant" w:cs="Assistant" w:eastAsia="Assistant" w:hAnsi="Assistant"/>
        </w:rPr>
        <w:drawing>
          <wp:inline distB="114300" distT="114300" distL="114300" distR="114300">
            <wp:extent cx="4221488" cy="1353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1488" cy="135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312" w:lineRule="auto"/>
        <w:ind w:left="72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line="312" w:lineRule="auto"/>
        <w:ind w:left="720" w:firstLine="0"/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סופגניות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 7 .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כריסמס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׳)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נותנים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לוקחים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ושואלים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מלוא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הניקוד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קישטו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קדמוניים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דלתות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בתיהם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בעצי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אשוח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ובריאות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סנטה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קלאוס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הבישוף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ניקולאס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הקדוש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הגרביים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שסנטה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ימלאם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מציינים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המולד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הולדת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הולדתו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  <w:br w:type="textWrapping"/>
        <w:t xml:space="preserve"> 8 .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׳)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7.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נאמר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בטקסט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שחוגגים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הנוביגוד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ביפן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באיזו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נאסר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אזרחי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רוסיה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לחגוג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שאינם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קומוניסטים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(1917(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קוראים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לנכדה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מורוז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סנגורוצ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צבע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מורוז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כחול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הסממן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הנוצרי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היחיד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בנובי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אשוח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  <w:br w:type="textWrapping"/>
        <w:t xml:space="preserve">9 .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מהקורבן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׳)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למשימה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7.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בערבית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הקורבן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אדחא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המוסלמי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חודש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במהלכו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חוגגים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הקורבן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למקריב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למשפחתו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ולעניים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חוגגים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הדרוזים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הקורבן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התאריך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הקורבן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אדחא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הגדול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line="312" w:lineRule="auto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|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עזרים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׳ 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כריסמס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הנצרות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פלגיו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המולד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המשמעותי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מציינת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הולדת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הנוצרים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המאמינים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מתפללים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לכבוד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בכנסייה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תפילה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מיוחדת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הנקראת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מיסת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חצות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המפורסמת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נערכת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בכנסיית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המולד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נולד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המסורת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הנוצרית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תפילה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נקראת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המיסה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"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masse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Christens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מכאן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המקור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שקוצר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Christmas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,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ומכאן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הברכה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הנהוגה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Christmas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Merry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.</w:t>
        <w:br w:type="textWrapping"/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מנהגי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- </w:t>
        <w:br w:type="textWrapping"/>
        <w:t xml:space="preserve">●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אשוח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סמל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העמידה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העיקשת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ההישרדות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בתנאים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החורף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אירופיים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קדמונים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נהגו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לקשט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דלתות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בתיהם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לבקשת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מזל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ובריאות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האלים</w:t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 </w:t>
        <w:br w:type="textWrapping"/>
        <w:t xml:space="preserve">●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יסוד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להאמין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שהקשר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שקיבל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הולדתו</w:t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t xml:space="preserve"> </w:t>
        <w:br w:type="textWrapping"/>
        <w:t xml:space="preserve">●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סנטה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קלאוס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פולקלוריסטית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הקרויה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סנטה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קלאוס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הבישוף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ניקולאס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הקדוש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הרביעית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והעניק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לילדים</w:t>
      </w:r>
      <w:r w:rsidDel="00000000" w:rsidR="00000000" w:rsidRPr="00000000">
        <w:rPr>
          <w:rFonts w:ascii="Arial Unicode MS" w:cs="Arial Unicode MS" w:eastAsia="Arial Unicode MS" w:hAnsi="Arial Unicode MS"/>
          <w:rtl w:val="1"/>
        </w:rPr>
        <w:br w:type="textWrapping"/>
        <w:t xml:space="preserve"> ●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גרביים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ישנם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המשאירים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לסנטה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מלאים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בסוכריות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לסנטה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גרביים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שימלא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נוהגים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להציב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נעליהם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שימצאו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מלאים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ממתקים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בבוקר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אגרות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כרטיסי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נהוגים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באוסטרליה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קנדה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בארצות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הברית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ובאירופה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שומרים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קרובים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ומכרים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רחוקים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ידידים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לעבודה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ומספרים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החולפת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׳ 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נוביגוד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  <w:br w:type="textWrapping"/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מצוין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בקרב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מברית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המועצות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ההגירה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מהגוש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המזרחי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היגר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מציינים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במדינות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ביניהן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תאילנד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יפן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וטורקיה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-1917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נאסר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תושבי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רוסיה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לחגוג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שאינם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קומוניסטיים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המולד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והסילבסטר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נעלמו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-30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התמרד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הציבור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נגד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הגזירה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1936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השלטון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הסובייטי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הצעת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פשרה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בראש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סילבסטר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נולד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הסממן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הנוצרי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היחיד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ונותר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האשוח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מנותק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בנובי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גוד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סנטה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קלאוס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מורוז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בתרגום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חופשי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כפור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איילים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נכדה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סנגורוצ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השלג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מורוז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סנטה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לבוש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במעיל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ארוך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כחול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אדום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מטה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קסמים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וזקן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וארוך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׳ 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הקורבן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הקורבן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בערבית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אדחא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המכונה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הגדול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מוסלמי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המציין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העלייה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נחגג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העשירי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חודש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החודש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המוסלמי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וממשיך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ארבעה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העלייה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לרגל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עצמה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נמשכת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כשבוע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הקורבן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השיאים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בטקסים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הנהוגים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שמקיימים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מקיימים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טקס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הנהוג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שעיקרו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הקרבת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כקורבן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למאכל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בסעודת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כתרומה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הקורבן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לשלושה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למקריב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למשפחתו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לעניים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הדרוזים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חוגגים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הקורבן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בתאריך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המקביל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המוסלמים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מנהגי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הדרוזים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העדה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הדרוזית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ssistant">
    <w:embedRegular w:fontKey="{00000000-0000-0000-0000-000000000000}" r:id="rId1" w:subsetted="0"/>
    <w:embedBold w:fontKey="{00000000-0000-0000-0000-000000000000}" r:id="rId2" w:subsetted="0"/>
  </w:font>
  <w:font w:name="Rubik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Rubik-regular.ttf"/><Relationship Id="rId4" Type="http://schemas.openxmlformats.org/officeDocument/2006/relationships/font" Target="fonts/Rubik-bold.ttf"/><Relationship Id="rId5" Type="http://schemas.openxmlformats.org/officeDocument/2006/relationships/font" Target="fonts/Rubik-italic.ttf"/><Relationship Id="rId6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